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2" w:rsidRPr="00E8783E" w:rsidRDefault="00D50244" w:rsidP="00D50244">
      <w:pPr>
        <w:pStyle w:val="Header"/>
        <w:tabs>
          <w:tab w:val="clear" w:pos="4320"/>
          <w:tab w:val="clear" w:pos="8640"/>
          <w:tab w:val="left" w:pos="1980"/>
        </w:tabs>
        <w:spacing w:line="240" w:lineRule="exact"/>
        <w:rPr>
          <w:rFonts w:ascii="Arial" w:hAnsi="Arial" w:cs="Arial"/>
          <w:vanish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1270</wp:posOffset>
            </wp:positionV>
            <wp:extent cx="1119505" cy="551180"/>
            <wp:effectExtent l="0" t="0" r="4445" b="1270"/>
            <wp:wrapSquare wrapText="bothSides"/>
            <wp:docPr id="7" name="Picture 7" descr="Image result for texas children's cancer and hematology cen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xas children's cancer and hematology cente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napToGrid/>
          <w:sz w:val="20"/>
        </w:rPr>
        <w:drawing>
          <wp:inline distT="0" distB="0" distL="0" distR="0" wp14:anchorId="46149180" wp14:editId="1E1EC78D">
            <wp:extent cx="551958" cy="551958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ylorlogobluenotag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63" cy="55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:rsidR="00AB74B2" w:rsidRPr="00E8783E" w:rsidRDefault="00D50244" w:rsidP="00D502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9360"/>
        </w:tabs>
        <w:jc w:val="center"/>
        <w:rPr>
          <w:rFonts w:ascii="Arial" w:hAnsi="Arial" w:cs="Arial"/>
          <w:sz w:val="28"/>
        </w:rPr>
      </w:pPr>
      <w:r w:rsidRPr="00D50244">
        <w:rPr>
          <w:rFonts w:ascii="Arial" w:hAnsi="Arial" w:cs="Arial"/>
          <w:b/>
          <w:sz w:val="22"/>
        </w:rPr>
        <w:t>Chemotherapy Sterile Drape Competency</w:t>
      </w:r>
      <w:r>
        <w:rPr>
          <w:rFonts w:ascii="Arial" w:hAnsi="Arial" w:cs="Arial"/>
          <w:b/>
          <w:sz w:val="22"/>
        </w:rPr>
        <w:tab/>
      </w:r>
    </w:p>
    <w:p w:rsidR="00AB74B2" w:rsidRPr="00E8783E" w:rsidRDefault="00DF02D4">
      <w:pPr>
        <w:spacing w:line="19" w:lineRule="exact"/>
        <w:rPr>
          <w:rFonts w:ascii="Arial" w:hAnsi="Arial" w:cs="Arial"/>
          <w:sz w:val="20"/>
        </w:rPr>
      </w:pPr>
      <w:r w:rsidRPr="00E8783E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1905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0DD6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" o:allowincell="f" fillcolor="black" strokeweight="1.5pt">
                <v:stroke linestyle="thickThin"/>
                <w10:wrap anchorx="page"/>
                <w10:anchorlock/>
              </v:rect>
            </w:pict>
          </mc:Fallback>
        </mc:AlternateContent>
      </w:r>
    </w:p>
    <w:p w:rsidR="00AB74B2" w:rsidRPr="00E8783E" w:rsidRDefault="00AB74B2">
      <w:pPr>
        <w:tabs>
          <w:tab w:val="right" w:pos="9360"/>
        </w:tabs>
        <w:rPr>
          <w:rFonts w:ascii="Arial" w:hAnsi="Arial" w:cs="Arial"/>
          <w:sz w:val="20"/>
        </w:rPr>
      </w:pPr>
      <w:r w:rsidRPr="00E8783E">
        <w:rPr>
          <w:rFonts w:ascii="Arial" w:hAnsi="Arial" w:cs="Arial"/>
          <w:sz w:val="20"/>
        </w:rPr>
        <w:tab/>
      </w:r>
    </w:p>
    <w:p w:rsidR="00AB74B2" w:rsidRPr="00E8783E" w:rsidRDefault="00E8783E" w:rsidP="00E878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980"/>
          <w:tab w:val="left" w:pos="8460"/>
          <w:tab w:val="right" w:pos="9360"/>
        </w:tabs>
        <w:ind w:left="1980" w:hanging="1980"/>
        <w:rPr>
          <w:rFonts w:ascii="Arial" w:hAnsi="Arial" w:cs="Arial"/>
          <w:sz w:val="20"/>
        </w:rPr>
      </w:pPr>
      <w:r w:rsidRPr="00D50244">
        <w:rPr>
          <w:rFonts w:ascii="Arial" w:hAnsi="Arial" w:cs="Arial"/>
          <w:b/>
          <w:sz w:val="20"/>
        </w:rPr>
        <w:t>Uses:</w:t>
      </w:r>
      <w:r>
        <w:rPr>
          <w:rFonts w:ascii="Arial" w:hAnsi="Arial" w:cs="Arial"/>
          <w:sz w:val="20"/>
        </w:rPr>
        <w:t xml:space="preserve"> </w:t>
      </w:r>
      <w:r w:rsidR="00AB74B2" w:rsidRPr="00E8783E">
        <w:rPr>
          <w:rFonts w:ascii="Arial" w:hAnsi="Arial" w:cs="Arial"/>
          <w:sz w:val="20"/>
        </w:rPr>
        <w:tab/>
      </w:r>
      <w:r w:rsidR="00AB74B2" w:rsidRPr="00E8783E">
        <w:rPr>
          <w:rFonts w:ascii="Arial" w:hAnsi="Arial" w:cs="Arial"/>
          <w:sz w:val="20"/>
        </w:rPr>
        <w:tab/>
      </w:r>
      <w:r w:rsidR="00AB74B2" w:rsidRPr="00E8783E">
        <w:rPr>
          <w:rFonts w:ascii="Arial" w:hAnsi="Arial" w:cs="Arial"/>
          <w:sz w:val="20"/>
        </w:rPr>
        <w:tab/>
      </w:r>
      <w:r w:rsidR="00E32C46">
        <w:rPr>
          <w:rFonts w:ascii="Arial" w:hAnsi="Arial" w:cs="Arial"/>
          <w:sz w:val="20"/>
        </w:rPr>
        <w:t>Preparation of medications intended for i</w:t>
      </w:r>
      <w:r>
        <w:rPr>
          <w:rFonts w:ascii="Arial" w:hAnsi="Arial" w:cs="Arial"/>
          <w:sz w:val="20"/>
        </w:rPr>
        <w:t>ntrathecal, intra-</w:t>
      </w:r>
      <w:proofErr w:type="spellStart"/>
      <w:r>
        <w:rPr>
          <w:rFonts w:ascii="Arial" w:hAnsi="Arial" w:cs="Arial"/>
          <w:sz w:val="20"/>
        </w:rPr>
        <w:t>ommaya</w:t>
      </w:r>
      <w:proofErr w:type="spellEnd"/>
      <w:r>
        <w:rPr>
          <w:rFonts w:ascii="Arial" w:hAnsi="Arial" w:cs="Arial"/>
          <w:sz w:val="20"/>
        </w:rPr>
        <w:t xml:space="preserve">, intraventricular, intraocular, </w:t>
      </w:r>
      <w:proofErr w:type="spellStart"/>
      <w:r>
        <w:rPr>
          <w:rFonts w:ascii="Arial" w:hAnsi="Arial" w:cs="Arial"/>
          <w:sz w:val="20"/>
        </w:rPr>
        <w:t>subtenon</w:t>
      </w:r>
      <w:proofErr w:type="spellEnd"/>
      <w:r>
        <w:rPr>
          <w:rFonts w:ascii="Arial" w:hAnsi="Arial" w:cs="Arial"/>
          <w:sz w:val="20"/>
        </w:rPr>
        <w:t xml:space="preserve">, intra-arterial, and intravitreal </w:t>
      </w:r>
      <w:r w:rsidR="00E32C46">
        <w:rPr>
          <w:rFonts w:ascii="Arial" w:hAnsi="Arial" w:cs="Arial"/>
          <w:sz w:val="20"/>
        </w:rPr>
        <w:t xml:space="preserve">administration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B74B2" w:rsidRPr="00E8783E" w:rsidRDefault="00AB74B2">
      <w:pPr>
        <w:tabs>
          <w:tab w:val="right" w:pos="9360"/>
        </w:tabs>
        <w:rPr>
          <w:rFonts w:ascii="Arial" w:hAnsi="Arial" w:cs="Arial"/>
          <w:sz w:val="20"/>
        </w:rPr>
      </w:pPr>
    </w:p>
    <w:p w:rsidR="00AB74B2" w:rsidRDefault="00AB74B2" w:rsidP="00E32C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980"/>
          <w:tab w:val="right" w:pos="9360"/>
        </w:tabs>
        <w:ind w:left="1980" w:right="180" w:hanging="1980"/>
        <w:rPr>
          <w:rFonts w:ascii="Arial" w:hAnsi="Arial" w:cs="Arial"/>
          <w:sz w:val="20"/>
          <w:u w:val="single"/>
        </w:rPr>
      </w:pPr>
      <w:r w:rsidRPr="00D50244">
        <w:rPr>
          <w:rFonts w:ascii="Arial" w:hAnsi="Arial" w:cs="Arial"/>
          <w:b/>
          <w:sz w:val="20"/>
        </w:rPr>
        <w:t>Audience:</w:t>
      </w:r>
      <w:r w:rsidRPr="00E8783E">
        <w:rPr>
          <w:rFonts w:ascii="Arial" w:hAnsi="Arial" w:cs="Arial"/>
          <w:sz w:val="20"/>
        </w:rPr>
        <w:tab/>
      </w:r>
      <w:r w:rsidRPr="00E8783E">
        <w:rPr>
          <w:rFonts w:ascii="Arial" w:hAnsi="Arial" w:cs="Arial"/>
          <w:sz w:val="20"/>
        </w:rPr>
        <w:tab/>
      </w:r>
      <w:r w:rsidR="00E8783E" w:rsidRPr="00E8783E">
        <w:rPr>
          <w:rFonts w:ascii="Arial" w:hAnsi="Arial" w:cs="Arial"/>
          <w:sz w:val="20"/>
        </w:rPr>
        <w:t xml:space="preserve">Pharmacists, pharmacy </w:t>
      </w:r>
      <w:r w:rsidRPr="00E8783E">
        <w:rPr>
          <w:rFonts w:ascii="Arial" w:hAnsi="Arial" w:cs="Arial"/>
          <w:sz w:val="20"/>
        </w:rPr>
        <w:t>technicians</w:t>
      </w:r>
      <w:r w:rsidR="00E8783E" w:rsidRPr="00E8783E">
        <w:rPr>
          <w:rFonts w:ascii="Arial" w:hAnsi="Arial" w:cs="Arial"/>
          <w:sz w:val="20"/>
        </w:rPr>
        <w:t>, nurses, medical officers, and physicians</w:t>
      </w:r>
      <w:r w:rsidRPr="00E8783E">
        <w:rPr>
          <w:rFonts w:ascii="Arial" w:hAnsi="Arial" w:cs="Arial"/>
          <w:sz w:val="20"/>
        </w:rPr>
        <w:t xml:space="preserve"> servicing </w:t>
      </w:r>
      <w:r w:rsidR="00A870E9">
        <w:rPr>
          <w:rFonts w:ascii="Arial" w:hAnsi="Arial" w:cs="Arial"/>
          <w:sz w:val="20"/>
        </w:rPr>
        <w:t>Global HOPE</w:t>
      </w:r>
      <w:r w:rsidR="00E8783E" w:rsidRPr="00E8783E">
        <w:rPr>
          <w:rFonts w:ascii="Arial" w:hAnsi="Arial" w:cs="Arial"/>
          <w:sz w:val="20"/>
        </w:rPr>
        <w:t xml:space="preserve"> patients</w:t>
      </w:r>
    </w:p>
    <w:p w:rsidR="00E8783E" w:rsidRDefault="00E8783E" w:rsidP="00E878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980"/>
          <w:tab w:val="right" w:pos="9360"/>
        </w:tabs>
        <w:ind w:left="1980" w:hanging="1980"/>
        <w:rPr>
          <w:rFonts w:ascii="Arial" w:hAnsi="Arial" w:cs="Arial"/>
          <w:sz w:val="20"/>
          <w:u w:val="single"/>
        </w:rPr>
      </w:pPr>
    </w:p>
    <w:p w:rsidR="00AB74B2" w:rsidRPr="00E8783E" w:rsidRDefault="00E8783E" w:rsidP="00E32C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980"/>
          <w:tab w:val="right" w:pos="9360"/>
        </w:tabs>
        <w:ind w:left="1980" w:right="180" w:hanging="1980"/>
        <w:rPr>
          <w:rFonts w:ascii="Arial" w:hAnsi="Arial" w:cs="Arial"/>
          <w:sz w:val="20"/>
        </w:rPr>
      </w:pPr>
      <w:r w:rsidRPr="00D50244">
        <w:rPr>
          <w:rFonts w:ascii="Arial" w:hAnsi="Arial" w:cs="Arial"/>
          <w:b/>
          <w:sz w:val="20"/>
        </w:rPr>
        <w:t xml:space="preserve">Pre-requisites: </w:t>
      </w:r>
      <w:r w:rsidRPr="00D50244">
        <w:rPr>
          <w:rFonts w:ascii="Arial" w:hAnsi="Arial" w:cs="Arial"/>
          <w:b/>
          <w:sz w:val="20"/>
        </w:rPr>
        <w:tab/>
      </w:r>
      <w:r w:rsidR="00AB74B2" w:rsidRPr="00E8783E">
        <w:rPr>
          <w:rFonts w:ascii="Arial" w:hAnsi="Arial" w:cs="Arial"/>
          <w:sz w:val="20"/>
        </w:rPr>
        <w:t xml:space="preserve">This checklist builds </w:t>
      </w:r>
      <w:r>
        <w:rPr>
          <w:rFonts w:ascii="Arial" w:hAnsi="Arial" w:cs="Arial"/>
          <w:sz w:val="20"/>
        </w:rPr>
        <w:t>up</w:t>
      </w:r>
      <w:r w:rsidR="00AB74B2" w:rsidRPr="00E8783E">
        <w:rPr>
          <w:rFonts w:ascii="Arial" w:hAnsi="Arial" w:cs="Arial"/>
          <w:sz w:val="20"/>
        </w:rPr>
        <w:t>on standard aseptic technique and policies/procedures used to compound sterile products in</w:t>
      </w:r>
      <w:r>
        <w:rPr>
          <w:rFonts w:ascii="Arial" w:hAnsi="Arial" w:cs="Arial"/>
          <w:sz w:val="20"/>
        </w:rPr>
        <w:t xml:space="preserve"> the biological safety cabinet. </w:t>
      </w:r>
      <w:r w:rsidR="00AB74B2" w:rsidRPr="00E8783E">
        <w:rPr>
          <w:rFonts w:ascii="Arial" w:hAnsi="Arial" w:cs="Arial"/>
          <w:sz w:val="20"/>
        </w:rPr>
        <w:t>Item #3</w:t>
      </w:r>
      <w:r w:rsidR="00B80D23">
        <w:rPr>
          <w:rFonts w:ascii="Arial" w:hAnsi="Arial" w:cs="Arial"/>
          <w:sz w:val="20"/>
        </w:rPr>
        <w:t xml:space="preserve"> begins the intrathecal</w:t>
      </w:r>
      <w:r w:rsidR="00AB74B2" w:rsidRPr="00E8783E">
        <w:rPr>
          <w:rFonts w:ascii="Arial" w:hAnsi="Arial" w:cs="Arial"/>
          <w:sz w:val="20"/>
        </w:rPr>
        <w:t>-specific process.</w:t>
      </w:r>
    </w:p>
    <w:p w:rsidR="00AB74B2" w:rsidRPr="00E8783E" w:rsidRDefault="00AB74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</w:rPr>
      </w:pPr>
    </w:p>
    <w:tbl>
      <w:tblPr>
        <w:tblW w:w="9630" w:type="dxa"/>
        <w:tblInd w:w="-9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7830"/>
        <w:gridCol w:w="960"/>
        <w:gridCol w:w="840"/>
      </w:tblGrid>
      <w:tr w:rsidR="00AB74B2" w:rsidRPr="00E8783E" w:rsidTr="008F1F86">
        <w:trPr>
          <w:tblHeader/>
        </w:trPr>
        <w:tc>
          <w:tcPr>
            <w:tcW w:w="78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:rsidR="00AB74B2" w:rsidRPr="00E8783E" w:rsidRDefault="00AB74B2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83E">
              <w:rPr>
                <w:rFonts w:ascii="Arial" w:hAnsi="Arial" w:cs="Arial"/>
                <w:b/>
                <w:sz w:val="18"/>
                <w:szCs w:val="18"/>
              </w:rPr>
              <w:t>CRITICAL ELEMENTS</w:t>
            </w:r>
          </w:p>
        </w:tc>
        <w:tc>
          <w:tcPr>
            <w:tcW w:w="9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:rsidR="00AB74B2" w:rsidRPr="00E8783E" w:rsidRDefault="00AB74B2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83E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  <w:vAlign w:val="center"/>
          </w:tcPr>
          <w:p w:rsidR="00AB74B2" w:rsidRPr="00E8783E" w:rsidRDefault="00AB74B2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83E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</w:tr>
      <w:tr w:rsidR="00AB74B2" w:rsidRPr="00E8783E" w:rsidTr="008F1F86">
        <w:trPr>
          <w:trHeight w:val="532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B74B2" w:rsidRPr="00E8783E" w:rsidRDefault="00AB74B2" w:rsidP="00A924DE">
            <w:pPr>
              <w:tabs>
                <w:tab w:val="left" w:pos="-1440"/>
                <w:tab w:val="left" w:pos="-720"/>
                <w:tab w:val="left" w:pos="360"/>
                <w:tab w:val="left" w:pos="399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9" w:hanging="399"/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>1.</w:t>
            </w:r>
            <w:r w:rsidRPr="00E8783E">
              <w:rPr>
                <w:rFonts w:ascii="Arial" w:hAnsi="Arial" w:cs="Arial"/>
                <w:sz w:val="18"/>
                <w:szCs w:val="18"/>
              </w:rPr>
              <w:tab/>
              <w:t>Completes standard compoun</w:t>
            </w:r>
            <w:r w:rsidR="00A924DE">
              <w:rPr>
                <w:rFonts w:ascii="Arial" w:hAnsi="Arial" w:cs="Arial"/>
                <w:sz w:val="18"/>
                <w:szCs w:val="18"/>
              </w:rPr>
              <w:t>ding sterile products validation and applies technique to all steps in the process.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B74B2" w:rsidRPr="00E8783E" w:rsidRDefault="00AB74B2" w:rsidP="00E8783E">
            <w:pPr>
              <w:tabs>
                <w:tab w:val="center" w:pos="129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4B2" w:rsidRPr="00E8783E" w:rsidRDefault="00AB74B2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B2" w:rsidRPr="00E8783E" w:rsidTr="00AA647C">
        <w:trPr>
          <w:trHeight w:val="1153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F1F86" w:rsidRDefault="00A924DE" w:rsidP="00A924DE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Draws</w:t>
            </w:r>
            <w:r w:rsidR="00AB74B2" w:rsidRPr="00E8783E">
              <w:rPr>
                <w:rFonts w:ascii="Arial" w:hAnsi="Arial" w:cs="Arial"/>
                <w:sz w:val="18"/>
                <w:szCs w:val="18"/>
              </w:rPr>
              <w:t xml:space="preserve"> up individual ingredients in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 w:rsidR="00AB74B2" w:rsidRPr="00E8783E">
              <w:rPr>
                <w:rFonts w:ascii="Arial" w:hAnsi="Arial" w:cs="Arial"/>
                <w:sz w:val="18"/>
                <w:szCs w:val="18"/>
              </w:rPr>
              <w:t xml:space="preserve"> separate syringes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places syringes to the side of the chemo mat, being careful to keep critical sites in clean “first” air. </w:t>
            </w:r>
          </w:p>
          <w:p w:rsidR="00AB74B2" w:rsidRDefault="00E8783E" w:rsidP="008F1F86">
            <w:pPr>
              <w:pStyle w:val="ListParagraph"/>
              <w:numPr>
                <w:ilvl w:val="1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the preparer is a technician, o</w:t>
            </w:r>
            <w:r w:rsidR="00AB74B2" w:rsidRPr="00E8783E">
              <w:rPr>
                <w:rFonts w:ascii="Arial" w:hAnsi="Arial" w:cs="Arial"/>
                <w:sz w:val="18"/>
                <w:szCs w:val="18"/>
              </w:rPr>
              <w:t xml:space="preserve">btains a </w:t>
            </w:r>
            <w:r>
              <w:rPr>
                <w:rFonts w:ascii="Arial" w:hAnsi="Arial" w:cs="Arial"/>
                <w:sz w:val="18"/>
                <w:szCs w:val="18"/>
              </w:rPr>
              <w:t>pharmacist’s check prior to further preparation.</w:t>
            </w:r>
          </w:p>
          <w:p w:rsidR="008F1F86" w:rsidRPr="00E8783E" w:rsidRDefault="008F1F86" w:rsidP="008F1F86">
            <w:pPr>
              <w:pStyle w:val="ListParagraph"/>
              <w:numPr>
                <w:ilvl w:val="1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rPr>
                <w:rFonts w:ascii="Arial" w:hAnsi="Arial" w:cs="Arial"/>
                <w:sz w:val="18"/>
                <w:szCs w:val="18"/>
              </w:rPr>
            </w:pPr>
            <w:r w:rsidRPr="008F1F86">
              <w:rPr>
                <w:rFonts w:ascii="Arial" w:hAnsi="Arial" w:cs="Arial"/>
                <w:sz w:val="18"/>
                <w:szCs w:val="18"/>
              </w:rPr>
              <w:t xml:space="preserve">Must be prepared with preservative </w:t>
            </w:r>
            <w:r>
              <w:rPr>
                <w:rFonts w:ascii="Arial" w:hAnsi="Arial" w:cs="Arial"/>
                <w:sz w:val="18"/>
                <w:szCs w:val="18"/>
              </w:rPr>
              <w:t>free products, see reconstitution chart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B74B2" w:rsidRPr="00E8783E" w:rsidRDefault="00AB74B2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783E" w:rsidRPr="00E8783E" w:rsidRDefault="00E8783E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4B2" w:rsidRPr="00E8783E" w:rsidRDefault="00AB74B2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B2" w:rsidRPr="00E8783E" w:rsidTr="008F1F86">
        <w:trPr>
          <w:trHeight w:val="793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B74B2" w:rsidRPr="00E8783E" w:rsidRDefault="00AB74B2" w:rsidP="00A924D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7" w:hanging="377"/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>3.</w:t>
            </w:r>
            <w:r w:rsidRPr="00E8783E">
              <w:rPr>
                <w:rFonts w:ascii="Arial" w:hAnsi="Arial" w:cs="Arial"/>
                <w:sz w:val="18"/>
                <w:szCs w:val="18"/>
              </w:rPr>
              <w:tab/>
              <w:t>Creates a “sterile field” by opening an individually wrapped sterile drape onto the center of the IV hood</w:t>
            </w:r>
            <w:r w:rsidR="00A92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783E">
              <w:rPr>
                <w:rFonts w:ascii="Arial" w:hAnsi="Arial" w:cs="Arial"/>
                <w:sz w:val="18"/>
                <w:szCs w:val="18"/>
              </w:rPr>
              <w:t>– taking care to expose only bottom of drape to hood floor to maintain sterility of internal surface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4B2" w:rsidRPr="00E8783E" w:rsidRDefault="00AB74B2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4B2" w:rsidRPr="00E8783E" w:rsidRDefault="00AB74B2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B2" w:rsidRPr="00E8783E" w:rsidTr="008F1F86">
        <w:trPr>
          <w:trHeight w:val="1414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B74B2" w:rsidRPr="00E8783E" w:rsidRDefault="00AB74B2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>4.</w:t>
            </w:r>
            <w:r w:rsidRPr="00E8783E">
              <w:rPr>
                <w:rFonts w:ascii="Arial" w:hAnsi="Arial" w:cs="Arial"/>
                <w:sz w:val="18"/>
                <w:szCs w:val="18"/>
              </w:rPr>
              <w:tab/>
              <w:t>Assembles supplies in the “sterile field”</w:t>
            </w:r>
          </w:p>
          <w:p w:rsidR="00A924DE" w:rsidRDefault="00AB74B2" w:rsidP="008F1F8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>Using appropriate technique, opens the individually wrapped</w:t>
            </w:r>
            <w:r w:rsidR="000066B0" w:rsidRPr="00E8783E">
              <w:rPr>
                <w:rFonts w:ascii="Arial" w:hAnsi="Arial" w:cs="Arial"/>
                <w:sz w:val="18"/>
                <w:szCs w:val="18"/>
              </w:rPr>
              <w:t xml:space="preserve"> sterile red cap,</w:t>
            </w:r>
            <w:r w:rsidRPr="00E8783E">
              <w:rPr>
                <w:rFonts w:ascii="Arial" w:hAnsi="Arial" w:cs="Arial"/>
                <w:sz w:val="18"/>
                <w:szCs w:val="18"/>
              </w:rPr>
              <w:t xml:space="preserve"> syringe</w:t>
            </w:r>
            <w:r w:rsidR="000066B0" w:rsidRPr="00E8783E">
              <w:rPr>
                <w:rFonts w:ascii="Arial" w:hAnsi="Arial" w:cs="Arial"/>
                <w:sz w:val="18"/>
                <w:szCs w:val="18"/>
              </w:rPr>
              <w:t xml:space="preserve"> and sterile </w:t>
            </w:r>
            <w:proofErr w:type="spellStart"/>
            <w:r w:rsidR="00A924DE">
              <w:rPr>
                <w:rFonts w:ascii="Arial" w:hAnsi="Arial" w:cs="Arial"/>
                <w:sz w:val="18"/>
                <w:szCs w:val="18"/>
              </w:rPr>
              <w:t>ziptop</w:t>
            </w:r>
            <w:proofErr w:type="spellEnd"/>
            <w:r w:rsidR="00A924DE">
              <w:rPr>
                <w:rFonts w:ascii="Arial" w:hAnsi="Arial" w:cs="Arial"/>
                <w:sz w:val="18"/>
                <w:szCs w:val="18"/>
              </w:rPr>
              <w:t xml:space="preserve"> bag</w:t>
            </w:r>
            <w:r w:rsidRPr="00E8783E">
              <w:rPr>
                <w:rFonts w:ascii="Arial" w:hAnsi="Arial" w:cs="Arial"/>
                <w:sz w:val="18"/>
                <w:szCs w:val="18"/>
              </w:rPr>
              <w:t xml:space="preserve"> to be used for the final product and allows it to drop untouched onto the sterile drape</w:t>
            </w:r>
          </w:p>
          <w:p w:rsidR="00F903B7" w:rsidRPr="00A924DE" w:rsidRDefault="00A924DE" w:rsidP="00084203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84203">
              <w:rPr>
                <w:rFonts w:ascii="Arial" w:hAnsi="Arial" w:cs="Arial"/>
                <w:sz w:val="18"/>
                <w:szCs w:val="18"/>
              </w:rPr>
              <w:t>10 mL</w:t>
            </w:r>
            <w:r w:rsidR="00AB74B2" w:rsidRPr="00A924DE">
              <w:rPr>
                <w:rFonts w:ascii="Arial" w:hAnsi="Arial" w:cs="Arial"/>
                <w:sz w:val="18"/>
                <w:szCs w:val="18"/>
              </w:rPr>
              <w:t xml:space="preserve"> slip tip syringe </w:t>
            </w:r>
            <w:r>
              <w:rPr>
                <w:rFonts w:ascii="Arial" w:hAnsi="Arial" w:cs="Arial"/>
                <w:sz w:val="18"/>
                <w:szCs w:val="18"/>
              </w:rPr>
              <w:t xml:space="preserve">should be used </w:t>
            </w:r>
            <w:r w:rsidR="00AB74B2" w:rsidRPr="00A924DE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440EE5" w:rsidRPr="00A924DE">
              <w:rPr>
                <w:rFonts w:ascii="Arial" w:hAnsi="Arial" w:cs="Arial"/>
                <w:sz w:val="18"/>
                <w:szCs w:val="18"/>
                <w:u w:val="single"/>
              </w:rPr>
              <w:t>Intrathecal</w:t>
            </w:r>
            <w:r w:rsidR="00AB74B2" w:rsidRPr="00A924DE">
              <w:rPr>
                <w:rFonts w:ascii="Arial" w:hAnsi="Arial" w:cs="Arial"/>
                <w:sz w:val="18"/>
                <w:szCs w:val="18"/>
              </w:rPr>
              <w:t xml:space="preserve"> doses;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B74B2" w:rsidRPr="00A924DE">
              <w:rPr>
                <w:rFonts w:ascii="Arial" w:hAnsi="Arial" w:cs="Arial"/>
                <w:sz w:val="18"/>
                <w:szCs w:val="18"/>
              </w:rPr>
              <w:t xml:space="preserve"> 5 m</w:t>
            </w:r>
            <w:r w:rsidR="00084203">
              <w:rPr>
                <w:rFonts w:ascii="Arial" w:hAnsi="Arial" w:cs="Arial"/>
                <w:sz w:val="18"/>
                <w:szCs w:val="18"/>
              </w:rPr>
              <w:t>L</w:t>
            </w:r>
            <w:r w:rsidR="00AB74B2" w:rsidRPr="00A924DE">
              <w:rPr>
                <w:rFonts w:ascii="Arial" w:hAnsi="Arial" w:cs="Arial"/>
                <w:sz w:val="18"/>
                <w:szCs w:val="18"/>
              </w:rPr>
              <w:t xml:space="preserve"> slip tip syringe for </w:t>
            </w:r>
            <w:proofErr w:type="spellStart"/>
            <w:r w:rsidR="00AB74B2" w:rsidRPr="00A924DE">
              <w:rPr>
                <w:rFonts w:ascii="Arial" w:hAnsi="Arial" w:cs="Arial"/>
                <w:sz w:val="18"/>
                <w:szCs w:val="18"/>
              </w:rPr>
              <w:t>subtenon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4B2" w:rsidRPr="00A924DE">
              <w:rPr>
                <w:rFonts w:ascii="Arial" w:hAnsi="Arial" w:cs="Arial"/>
                <w:sz w:val="18"/>
                <w:szCs w:val="18"/>
              </w:rPr>
              <w:t>preparations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, a </w:t>
            </w:r>
            <w:r w:rsidR="00F56D18" w:rsidRPr="00A924DE">
              <w:rPr>
                <w:rFonts w:ascii="Arial" w:hAnsi="Arial" w:cs="Arial"/>
                <w:sz w:val="18"/>
                <w:szCs w:val="18"/>
              </w:rPr>
              <w:t>3/10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D18" w:rsidRPr="00A924DE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F56D18" w:rsidRPr="00A924DE">
              <w:rPr>
                <w:rFonts w:ascii="Arial" w:hAnsi="Arial" w:cs="Arial"/>
                <w:sz w:val="18"/>
                <w:szCs w:val="18"/>
              </w:rPr>
              <w:t xml:space="preserve"> insulin syringe for</w:t>
            </w:r>
            <w:r w:rsidRPr="00A92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3ED2" w:rsidRPr="00A924DE">
              <w:rPr>
                <w:rFonts w:ascii="Arial" w:hAnsi="Arial" w:cs="Arial"/>
                <w:sz w:val="18"/>
                <w:szCs w:val="18"/>
              </w:rPr>
              <w:t xml:space="preserve">intravitreal </w:t>
            </w:r>
            <w:r w:rsidRPr="00A924DE">
              <w:rPr>
                <w:rFonts w:ascii="Arial" w:hAnsi="Arial" w:cs="Arial"/>
                <w:sz w:val="18"/>
                <w:szCs w:val="18"/>
              </w:rPr>
              <w:t>doses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4B2" w:rsidRPr="00E8783E" w:rsidRDefault="00AB74B2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4B2" w:rsidRPr="00E8783E" w:rsidRDefault="00AB74B2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B2" w:rsidRPr="00E8783E" w:rsidTr="008F1F86">
        <w:trPr>
          <w:trHeight w:val="1423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B74B2" w:rsidRPr="00E8783E" w:rsidRDefault="00AB74B2" w:rsidP="00E878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 xml:space="preserve">5.  </w:t>
            </w:r>
            <w:r w:rsidR="00A924DE">
              <w:rPr>
                <w:rFonts w:ascii="Arial" w:hAnsi="Arial" w:cs="Arial"/>
                <w:sz w:val="18"/>
                <w:szCs w:val="18"/>
              </w:rPr>
              <w:t>Dons sterile gloves</w:t>
            </w:r>
            <w:r w:rsidRPr="00E8783E">
              <w:rPr>
                <w:rFonts w:ascii="Arial" w:hAnsi="Arial" w:cs="Arial"/>
                <w:sz w:val="18"/>
                <w:szCs w:val="18"/>
              </w:rPr>
              <w:t xml:space="preserve"> after pharmacist check of medications and supplies is complete</w:t>
            </w:r>
          </w:p>
          <w:p w:rsidR="00AB74B2" w:rsidRPr="00E8783E" w:rsidRDefault="00AB74B2" w:rsidP="008F1F8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59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>Using appropriate technique, opens individually wrapped sterile gloves and places paper-wrapped gloves to outside of sterile field</w:t>
            </w:r>
          </w:p>
          <w:p w:rsidR="00AB74B2" w:rsidRPr="00E8783E" w:rsidRDefault="00AB74B2" w:rsidP="008F1F8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59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>Unfolds paper wrapping to reveal sterile gloves</w:t>
            </w:r>
          </w:p>
          <w:p w:rsidR="00AB74B2" w:rsidRPr="00A924DE" w:rsidRDefault="00AB74B2" w:rsidP="008F1F8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59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 xml:space="preserve">Using appropriate technique, places sterile gloves over the </w:t>
            </w:r>
            <w:r w:rsidR="00A924DE">
              <w:rPr>
                <w:rFonts w:ascii="Arial" w:hAnsi="Arial" w:cs="Arial"/>
                <w:sz w:val="18"/>
                <w:szCs w:val="18"/>
              </w:rPr>
              <w:t xml:space="preserve">chemo </w:t>
            </w:r>
            <w:r w:rsidRPr="00E8783E">
              <w:rPr>
                <w:rFonts w:ascii="Arial" w:hAnsi="Arial" w:cs="Arial"/>
                <w:sz w:val="18"/>
                <w:szCs w:val="18"/>
              </w:rPr>
              <w:t>gloves the preparer is already wearing</w:t>
            </w:r>
            <w:r w:rsidR="008F1F86">
              <w:rPr>
                <w:rFonts w:ascii="Arial" w:hAnsi="Arial" w:cs="Arial"/>
                <w:sz w:val="18"/>
                <w:szCs w:val="18"/>
              </w:rPr>
              <w:t>,</w:t>
            </w:r>
            <w:r w:rsidRPr="00E8783E">
              <w:rPr>
                <w:rFonts w:ascii="Arial" w:hAnsi="Arial" w:cs="Arial"/>
                <w:sz w:val="18"/>
                <w:szCs w:val="18"/>
              </w:rPr>
              <w:t xml:space="preserve"> grabbing inside cuff to pull on to maintain outer sterility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B2" w:rsidRPr="00E8783E" w:rsidTr="00EC6382">
        <w:trPr>
          <w:trHeight w:val="1342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A924DE" w:rsidRDefault="00AB74B2" w:rsidP="00A924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759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9" w:hanging="399"/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E8783E">
              <w:rPr>
                <w:rFonts w:ascii="Arial" w:hAnsi="Arial" w:cs="Arial"/>
                <w:sz w:val="18"/>
                <w:szCs w:val="18"/>
              </w:rPr>
              <w:tab/>
              <w:t>Mi</w:t>
            </w:r>
            <w:r w:rsidR="00A924DE">
              <w:rPr>
                <w:rFonts w:ascii="Arial" w:hAnsi="Arial" w:cs="Arial"/>
                <w:sz w:val="18"/>
                <w:szCs w:val="18"/>
              </w:rPr>
              <w:t xml:space="preserve">xes the final product over the </w:t>
            </w:r>
            <w:r w:rsidRPr="00E8783E">
              <w:rPr>
                <w:rFonts w:ascii="Arial" w:hAnsi="Arial" w:cs="Arial"/>
                <w:sz w:val="18"/>
                <w:szCs w:val="18"/>
              </w:rPr>
              <w:t>sterile field</w:t>
            </w:r>
            <w:r w:rsidR="005217E6" w:rsidRPr="00E8783E">
              <w:rPr>
                <w:rFonts w:ascii="Arial" w:hAnsi="Arial" w:cs="Arial"/>
                <w:sz w:val="18"/>
                <w:szCs w:val="18"/>
              </w:rPr>
              <w:t xml:space="preserve"> and if needed </w:t>
            </w:r>
            <w:r w:rsidRPr="00E8783E">
              <w:rPr>
                <w:rFonts w:ascii="Arial" w:hAnsi="Arial" w:cs="Arial"/>
                <w:sz w:val="18"/>
                <w:szCs w:val="18"/>
              </w:rPr>
              <w:t>transfers</w:t>
            </w:r>
            <w:r w:rsidR="005217E6" w:rsidRPr="00E8783E">
              <w:rPr>
                <w:rFonts w:ascii="Arial" w:hAnsi="Arial" w:cs="Arial"/>
                <w:sz w:val="18"/>
                <w:szCs w:val="18"/>
              </w:rPr>
              <w:t xml:space="preserve"> to the appropriate syringe before dispensing </w:t>
            </w:r>
          </w:p>
          <w:p w:rsidR="008F1F86" w:rsidRDefault="00A924DE" w:rsidP="008F1F86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759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924DE">
              <w:rPr>
                <w:rFonts w:ascii="Arial" w:hAnsi="Arial" w:cs="Arial"/>
                <w:sz w:val="18"/>
                <w:szCs w:val="18"/>
              </w:rPr>
              <w:t>I</w:t>
            </w:r>
            <w:r w:rsidR="00440EE5" w:rsidRPr="00A924DE">
              <w:rPr>
                <w:rFonts w:ascii="Arial" w:hAnsi="Arial" w:cs="Arial"/>
                <w:sz w:val="18"/>
                <w:szCs w:val="18"/>
              </w:rPr>
              <w:t>ntrathecal</w:t>
            </w:r>
            <w:r w:rsidR="00AB74B2" w:rsidRPr="00A924DE">
              <w:rPr>
                <w:rFonts w:ascii="Arial" w:hAnsi="Arial" w:cs="Arial"/>
                <w:sz w:val="18"/>
                <w:szCs w:val="18"/>
              </w:rPr>
              <w:t xml:space="preserve"> doses</w:t>
            </w:r>
            <w:r>
              <w:rPr>
                <w:rFonts w:ascii="Arial" w:hAnsi="Arial" w:cs="Arial"/>
                <w:sz w:val="18"/>
                <w:szCs w:val="18"/>
              </w:rPr>
              <w:t xml:space="preserve"> should be </w:t>
            </w:r>
            <w:r w:rsidR="00B80D23">
              <w:rPr>
                <w:rFonts w:ascii="Arial" w:hAnsi="Arial" w:cs="Arial"/>
                <w:sz w:val="18"/>
                <w:szCs w:val="18"/>
              </w:rPr>
              <w:t>transferred</w:t>
            </w:r>
            <w:r w:rsidR="00AB74B2" w:rsidRPr="00A924DE">
              <w:rPr>
                <w:rFonts w:ascii="Arial" w:hAnsi="Arial" w:cs="Arial"/>
                <w:sz w:val="18"/>
                <w:szCs w:val="18"/>
              </w:rPr>
              <w:t xml:space="preserve"> to 10 m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AB74B2" w:rsidRPr="00A924DE">
              <w:rPr>
                <w:rFonts w:ascii="Arial" w:hAnsi="Arial" w:cs="Arial"/>
                <w:sz w:val="18"/>
                <w:szCs w:val="18"/>
              </w:rPr>
              <w:t xml:space="preserve"> slip tip syringes using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B74B2" w:rsidRPr="00A924DE">
              <w:rPr>
                <w:rFonts w:ascii="Arial" w:hAnsi="Arial" w:cs="Arial"/>
                <w:sz w:val="18"/>
                <w:szCs w:val="18"/>
              </w:rPr>
              <w:t xml:space="preserve"> double filter procedure</w:t>
            </w:r>
            <w:r>
              <w:rPr>
                <w:rFonts w:ascii="Arial" w:hAnsi="Arial" w:cs="Arial"/>
                <w:sz w:val="18"/>
                <w:szCs w:val="18"/>
              </w:rPr>
              <w:t xml:space="preserve"> (0.2 micron disc filter – see </w:t>
            </w:r>
            <w:r w:rsidR="00EC6382">
              <w:rPr>
                <w:rFonts w:ascii="Arial" w:hAnsi="Arial" w:cs="Arial"/>
                <w:sz w:val="18"/>
                <w:szCs w:val="18"/>
              </w:rPr>
              <w:t>standard operating procedure (</w:t>
            </w:r>
            <w:r>
              <w:rPr>
                <w:rFonts w:ascii="Arial" w:hAnsi="Arial" w:cs="Arial"/>
                <w:sz w:val="18"/>
                <w:szCs w:val="18"/>
              </w:rPr>
              <w:t>SOP</w:t>
            </w:r>
            <w:r w:rsidR="00EC638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C6382" w:rsidRDefault="00EC6382" w:rsidP="008F1F86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759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Doses for other routes</w:t>
            </w:r>
            <w:r w:rsidR="00A924DE">
              <w:rPr>
                <w:rFonts w:ascii="Arial" w:hAnsi="Arial" w:cs="Arial"/>
                <w:sz w:val="18"/>
                <w:szCs w:val="18"/>
              </w:rPr>
              <w:t xml:space="preserve"> should be transferred to an </w:t>
            </w:r>
            <w:r w:rsidR="00AB74B2" w:rsidRPr="00A924DE">
              <w:rPr>
                <w:rFonts w:ascii="Arial" w:hAnsi="Arial" w:cs="Arial"/>
                <w:sz w:val="18"/>
                <w:szCs w:val="18"/>
              </w:rPr>
              <w:t>appropriate</w:t>
            </w:r>
            <w:r w:rsidR="00A924DE">
              <w:rPr>
                <w:rFonts w:ascii="Arial" w:hAnsi="Arial" w:cs="Arial"/>
                <w:sz w:val="18"/>
                <w:szCs w:val="18"/>
              </w:rPr>
              <w:t>ly-sized</w:t>
            </w:r>
            <w:r w:rsidR="00AB74B2" w:rsidRPr="00A924DE">
              <w:rPr>
                <w:rFonts w:ascii="Arial" w:hAnsi="Arial" w:cs="Arial"/>
                <w:sz w:val="18"/>
                <w:szCs w:val="18"/>
              </w:rPr>
              <w:t xml:space="preserve"> slip tip syringe</w:t>
            </w:r>
            <w:r w:rsidRPr="00E878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74B2" w:rsidRPr="00A924DE" w:rsidRDefault="00EC6382" w:rsidP="008F1F86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759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>Caps the syringe with the sterile red cap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B2" w:rsidRPr="00E8783E" w:rsidTr="00EC6382">
        <w:trPr>
          <w:trHeight w:val="1177"/>
        </w:trPr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4B2" w:rsidRPr="00EC6382" w:rsidRDefault="00AB74B2" w:rsidP="00EC6382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9"/>
              <w:rPr>
                <w:rFonts w:ascii="Arial" w:hAnsi="Arial" w:cs="Arial"/>
                <w:sz w:val="18"/>
                <w:szCs w:val="18"/>
              </w:rPr>
            </w:pPr>
            <w:r w:rsidRPr="00EC6382">
              <w:rPr>
                <w:rFonts w:ascii="Arial" w:hAnsi="Arial" w:cs="Arial"/>
                <w:sz w:val="18"/>
                <w:szCs w:val="18"/>
              </w:rPr>
              <w:t>Prepares the dose for</w:t>
            </w:r>
            <w:r w:rsidR="00EC6382" w:rsidRPr="00EC6382">
              <w:rPr>
                <w:rFonts w:ascii="Arial" w:hAnsi="Arial" w:cs="Arial"/>
                <w:sz w:val="18"/>
                <w:szCs w:val="18"/>
              </w:rPr>
              <w:t xml:space="preserve"> final</w:t>
            </w:r>
            <w:r w:rsidRPr="00EC6382">
              <w:rPr>
                <w:rFonts w:ascii="Arial" w:hAnsi="Arial" w:cs="Arial"/>
                <w:sz w:val="18"/>
                <w:szCs w:val="18"/>
              </w:rPr>
              <w:t xml:space="preserve"> dispensing</w:t>
            </w:r>
          </w:p>
          <w:p w:rsidR="00AB74B2" w:rsidRPr="008F1F86" w:rsidRDefault="00AB74B2" w:rsidP="008F1F8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>Labels the syringe</w:t>
            </w:r>
            <w:r w:rsidR="00AD6F87" w:rsidRPr="00E8783E">
              <w:rPr>
                <w:rFonts w:ascii="Arial" w:hAnsi="Arial" w:cs="Arial"/>
                <w:sz w:val="18"/>
                <w:szCs w:val="18"/>
              </w:rPr>
              <w:t xml:space="preserve"> appropriately</w:t>
            </w:r>
            <w:r w:rsidR="008F1F86">
              <w:rPr>
                <w:rFonts w:ascii="Arial" w:hAnsi="Arial" w:cs="Arial"/>
                <w:sz w:val="18"/>
                <w:szCs w:val="18"/>
              </w:rPr>
              <w:t xml:space="preserve"> to indicate an intrathecal (or other) dose</w:t>
            </w:r>
          </w:p>
          <w:p w:rsidR="00AB74B2" w:rsidRPr="00E8783E" w:rsidRDefault="00F903B7" w:rsidP="008F1F8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rPr>
                <w:rFonts w:ascii="Arial" w:hAnsi="Arial" w:cs="Arial"/>
                <w:strike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>Place</w:t>
            </w:r>
            <w:r w:rsidR="0007710E" w:rsidRPr="00E8783E">
              <w:rPr>
                <w:rFonts w:ascii="Arial" w:hAnsi="Arial" w:cs="Arial"/>
                <w:sz w:val="18"/>
                <w:szCs w:val="18"/>
              </w:rPr>
              <w:t>s</w:t>
            </w:r>
            <w:r w:rsidRPr="00E8783E">
              <w:rPr>
                <w:rFonts w:ascii="Arial" w:hAnsi="Arial" w:cs="Arial"/>
                <w:sz w:val="18"/>
                <w:szCs w:val="18"/>
              </w:rPr>
              <w:t xml:space="preserve"> the labeled syringe </w:t>
            </w:r>
            <w:r w:rsidR="00CD1CD5" w:rsidRPr="00E8783E">
              <w:rPr>
                <w:rFonts w:ascii="Arial" w:hAnsi="Arial" w:cs="Arial"/>
                <w:sz w:val="18"/>
                <w:szCs w:val="18"/>
              </w:rPr>
              <w:t>into sterile</w:t>
            </w:r>
            <w:r w:rsidRPr="00E878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F1F86">
              <w:rPr>
                <w:rFonts w:ascii="Arial" w:hAnsi="Arial" w:cs="Arial"/>
                <w:sz w:val="18"/>
                <w:szCs w:val="18"/>
              </w:rPr>
              <w:t>ziptop</w:t>
            </w:r>
            <w:proofErr w:type="spellEnd"/>
            <w:r w:rsidRPr="00E8783E">
              <w:rPr>
                <w:rFonts w:ascii="Arial" w:hAnsi="Arial" w:cs="Arial"/>
                <w:sz w:val="18"/>
                <w:szCs w:val="18"/>
              </w:rPr>
              <w:t xml:space="preserve"> bag. Seal</w:t>
            </w:r>
            <w:r w:rsidR="00CD1CD5" w:rsidRPr="00E8783E">
              <w:rPr>
                <w:rFonts w:ascii="Arial" w:hAnsi="Arial" w:cs="Arial"/>
                <w:sz w:val="18"/>
                <w:szCs w:val="18"/>
              </w:rPr>
              <w:t>s</w:t>
            </w:r>
            <w:r w:rsidRPr="00E878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F1F86">
              <w:rPr>
                <w:rFonts w:ascii="Arial" w:hAnsi="Arial" w:cs="Arial"/>
                <w:sz w:val="18"/>
                <w:szCs w:val="18"/>
              </w:rPr>
              <w:t>ziptop</w:t>
            </w:r>
            <w:proofErr w:type="spellEnd"/>
            <w:r w:rsidRPr="00E878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CD5" w:rsidRPr="00E8783E">
              <w:rPr>
                <w:rFonts w:ascii="Arial" w:hAnsi="Arial" w:cs="Arial"/>
                <w:sz w:val="18"/>
                <w:szCs w:val="18"/>
              </w:rPr>
              <w:t xml:space="preserve">bag and labels bag with appropriate </w:t>
            </w:r>
            <w:r w:rsidR="00440EE5" w:rsidRPr="00E8783E">
              <w:rPr>
                <w:rFonts w:ascii="Arial" w:hAnsi="Arial" w:cs="Arial"/>
                <w:sz w:val="18"/>
                <w:szCs w:val="18"/>
              </w:rPr>
              <w:t>auxiliary</w:t>
            </w:r>
            <w:r w:rsidR="008F1F86">
              <w:rPr>
                <w:rFonts w:ascii="Arial" w:hAnsi="Arial" w:cs="Arial"/>
                <w:sz w:val="18"/>
                <w:szCs w:val="18"/>
              </w:rPr>
              <w:t xml:space="preserve"> label</w:t>
            </w:r>
          </w:p>
          <w:p w:rsidR="00AB74B2" w:rsidRPr="008F1F86" w:rsidRDefault="00AB74B2" w:rsidP="00EC6382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>Places in a</w:t>
            </w:r>
            <w:r w:rsidR="00EC6382">
              <w:rPr>
                <w:rFonts w:ascii="Arial" w:hAnsi="Arial" w:cs="Arial"/>
                <w:sz w:val="18"/>
                <w:szCs w:val="18"/>
              </w:rPr>
              <w:t>n outer</w:t>
            </w:r>
            <w:r w:rsidRPr="00E8783E">
              <w:rPr>
                <w:rFonts w:ascii="Arial" w:hAnsi="Arial" w:cs="Arial"/>
                <w:sz w:val="18"/>
                <w:szCs w:val="18"/>
              </w:rPr>
              <w:t xml:space="preserve"> chemo bag</w:t>
            </w:r>
            <w:r w:rsidR="003D3ED2" w:rsidRPr="00E8783E">
              <w:rPr>
                <w:rFonts w:ascii="Arial" w:hAnsi="Arial" w:cs="Arial"/>
                <w:sz w:val="18"/>
                <w:szCs w:val="18"/>
              </w:rPr>
              <w:t xml:space="preserve"> and follows </w:t>
            </w:r>
            <w:r w:rsidR="00EC6382">
              <w:rPr>
                <w:rFonts w:ascii="Arial" w:hAnsi="Arial" w:cs="Arial"/>
                <w:sz w:val="18"/>
                <w:szCs w:val="18"/>
              </w:rPr>
              <w:t>SOPs</w:t>
            </w:r>
            <w:r w:rsidR="003D3ED2" w:rsidRPr="00E8783E">
              <w:rPr>
                <w:rFonts w:ascii="Arial" w:hAnsi="Arial" w:cs="Arial"/>
                <w:sz w:val="18"/>
                <w:szCs w:val="18"/>
              </w:rPr>
              <w:t xml:space="preserve"> for dispensing chemotherapy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B2" w:rsidRPr="00E8783E" w:rsidTr="00EC6382">
        <w:trPr>
          <w:trHeight w:val="610"/>
        </w:trPr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74B2" w:rsidRPr="00EC6382" w:rsidRDefault="00AB74B2" w:rsidP="00EC6382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9"/>
              <w:rPr>
                <w:rFonts w:ascii="Arial" w:hAnsi="Arial" w:cs="Arial"/>
                <w:sz w:val="18"/>
                <w:szCs w:val="18"/>
              </w:rPr>
            </w:pPr>
            <w:r w:rsidRPr="00EC6382">
              <w:rPr>
                <w:rFonts w:ascii="Arial" w:hAnsi="Arial" w:cs="Arial"/>
                <w:sz w:val="18"/>
                <w:szCs w:val="18"/>
              </w:rPr>
              <w:t>Understands delivery restrictions</w:t>
            </w:r>
          </w:p>
          <w:p w:rsidR="00AB74B2" w:rsidRPr="00E8783E" w:rsidRDefault="00AB74B2" w:rsidP="008F1F8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98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216"/>
              <w:rPr>
                <w:rFonts w:ascii="Arial" w:hAnsi="Arial" w:cs="Arial"/>
                <w:sz w:val="18"/>
                <w:szCs w:val="18"/>
              </w:rPr>
            </w:pPr>
            <w:r w:rsidRPr="00E8783E">
              <w:rPr>
                <w:rFonts w:ascii="Arial" w:hAnsi="Arial" w:cs="Arial"/>
                <w:sz w:val="18"/>
                <w:szCs w:val="18"/>
              </w:rPr>
              <w:t>Hand-delivered to the nurse or clinic upon completion of preparation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74B2" w:rsidRPr="00E8783E" w:rsidRDefault="00AB74B2" w:rsidP="00E8783E">
            <w:pPr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74B2" w:rsidRPr="00E8783E" w:rsidRDefault="00AB74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:rsidR="00E32C46" w:rsidRDefault="00E32C46" w:rsidP="00E32C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Arial" w:hAnsi="Arial" w:cs="Arial"/>
          <w:sz w:val="20"/>
        </w:rPr>
      </w:pPr>
    </w:p>
    <w:p w:rsidR="00AB74B2" w:rsidRPr="00E8783E" w:rsidRDefault="00AB74B2" w:rsidP="00E32C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Arial" w:hAnsi="Arial" w:cs="Arial"/>
          <w:sz w:val="20"/>
          <w:u w:val="single"/>
        </w:rPr>
      </w:pPr>
      <w:r w:rsidRPr="00E8783E">
        <w:rPr>
          <w:rFonts w:ascii="Arial" w:hAnsi="Arial" w:cs="Arial"/>
          <w:sz w:val="20"/>
        </w:rPr>
        <w:t>Employee</w:t>
      </w:r>
      <w:r w:rsidRPr="00E8783E">
        <w:rPr>
          <w:rFonts w:ascii="Arial" w:hAnsi="Arial" w:cs="Arial"/>
          <w:sz w:val="20"/>
          <w:u w:val="single"/>
        </w:rPr>
        <w:tab/>
      </w:r>
      <w:r w:rsidRPr="00E8783E">
        <w:rPr>
          <w:rFonts w:ascii="Arial" w:hAnsi="Arial" w:cs="Arial"/>
          <w:sz w:val="20"/>
          <w:u w:val="single"/>
        </w:rPr>
        <w:tab/>
      </w:r>
      <w:r w:rsidRPr="00E8783E">
        <w:rPr>
          <w:rFonts w:ascii="Arial" w:hAnsi="Arial" w:cs="Arial"/>
          <w:sz w:val="20"/>
          <w:u w:val="single"/>
        </w:rPr>
        <w:tab/>
      </w:r>
      <w:r w:rsidRPr="00E8783E">
        <w:rPr>
          <w:rFonts w:ascii="Arial" w:hAnsi="Arial" w:cs="Arial"/>
          <w:sz w:val="20"/>
          <w:u w:val="single"/>
        </w:rPr>
        <w:tab/>
      </w:r>
      <w:r w:rsidR="00E32C46">
        <w:rPr>
          <w:rFonts w:ascii="Arial" w:hAnsi="Arial" w:cs="Arial"/>
          <w:sz w:val="20"/>
          <w:u w:val="single"/>
        </w:rPr>
        <w:t xml:space="preserve">   </w:t>
      </w:r>
      <w:r w:rsidRPr="00E8783E">
        <w:rPr>
          <w:rFonts w:ascii="Arial" w:hAnsi="Arial" w:cs="Arial"/>
          <w:sz w:val="20"/>
        </w:rPr>
        <w:t xml:space="preserve"> Title </w:t>
      </w:r>
      <w:r w:rsidR="00A924DE">
        <w:rPr>
          <w:rFonts w:ascii="Arial" w:hAnsi="Arial" w:cs="Arial"/>
          <w:sz w:val="20"/>
          <w:u w:val="single"/>
        </w:rPr>
        <w:tab/>
      </w:r>
      <w:r w:rsidRPr="00E8783E">
        <w:rPr>
          <w:rFonts w:ascii="Arial" w:hAnsi="Arial" w:cs="Arial"/>
          <w:sz w:val="20"/>
          <w:u w:val="single"/>
        </w:rPr>
        <w:t xml:space="preserve"> </w:t>
      </w:r>
      <w:r w:rsidRPr="00E8783E">
        <w:rPr>
          <w:rFonts w:ascii="Arial" w:hAnsi="Arial" w:cs="Arial"/>
          <w:sz w:val="20"/>
          <w:u w:val="single"/>
        </w:rPr>
        <w:tab/>
      </w:r>
      <w:r w:rsidR="00E32C46">
        <w:rPr>
          <w:rFonts w:ascii="Arial" w:hAnsi="Arial" w:cs="Arial"/>
          <w:sz w:val="20"/>
          <w:u w:val="single"/>
        </w:rPr>
        <w:t xml:space="preserve"> </w:t>
      </w:r>
      <w:r w:rsidR="00E32C46">
        <w:rPr>
          <w:rFonts w:ascii="Arial" w:hAnsi="Arial" w:cs="Arial"/>
          <w:sz w:val="20"/>
        </w:rPr>
        <w:t xml:space="preserve"> </w:t>
      </w:r>
      <w:r w:rsidRPr="00E8783E">
        <w:rPr>
          <w:rFonts w:ascii="Arial" w:hAnsi="Arial" w:cs="Arial"/>
          <w:sz w:val="20"/>
        </w:rPr>
        <w:t>Sign</w:t>
      </w:r>
      <w:r w:rsidR="00A924DE">
        <w:rPr>
          <w:rFonts w:ascii="Arial" w:hAnsi="Arial" w:cs="Arial"/>
          <w:sz w:val="20"/>
        </w:rPr>
        <w:t>ature___________________</w:t>
      </w:r>
      <w:r w:rsidR="00E32C46">
        <w:rPr>
          <w:rFonts w:ascii="Arial" w:hAnsi="Arial" w:cs="Arial"/>
          <w:sz w:val="20"/>
          <w:u w:val="single"/>
        </w:rPr>
        <w:t xml:space="preserve">   </w:t>
      </w:r>
      <w:r w:rsidR="00A924DE">
        <w:rPr>
          <w:rFonts w:ascii="Arial" w:hAnsi="Arial" w:cs="Arial"/>
          <w:sz w:val="20"/>
        </w:rPr>
        <w:t xml:space="preserve"> </w:t>
      </w:r>
      <w:r w:rsidRPr="00E8783E">
        <w:rPr>
          <w:rFonts w:ascii="Arial" w:hAnsi="Arial" w:cs="Arial"/>
          <w:sz w:val="20"/>
        </w:rPr>
        <w:t>Date</w:t>
      </w:r>
      <w:r w:rsidR="00E32C46">
        <w:rPr>
          <w:rFonts w:ascii="Arial" w:hAnsi="Arial" w:cs="Arial"/>
          <w:sz w:val="20"/>
        </w:rPr>
        <w:t xml:space="preserve"> </w:t>
      </w:r>
      <w:r w:rsidR="00A924DE">
        <w:rPr>
          <w:rFonts w:ascii="Arial" w:hAnsi="Arial" w:cs="Arial"/>
          <w:sz w:val="20"/>
          <w:u w:val="single"/>
        </w:rPr>
        <w:tab/>
      </w:r>
      <w:r w:rsidR="00E32C46">
        <w:rPr>
          <w:rFonts w:ascii="Arial" w:hAnsi="Arial" w:cs="Arial"/>
          <w:sz w:val="20"/>
          <w:u w:val="single"/>
        </w:rPr>
        <w:t xml:space="preserve">     </w:t>
      </w:r>
    </w:p>
    <w:p w:rsidR="00AB74B2" w:rsidRPr="00E8783E" w:rsidRDefault="00AB74B2" w:rsidP="00A924D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530"/>
          <w:tab w:val="left" w:pos="1980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390"/>
          <w:tab w:val="right" w:pos="9360"/>
        </w:tabs>
        <w:rPr>
          <w:rFonts w:ascii="Arial" w:hAnsi="Arial" w:cs="Arial"/>
          <w:sz w:val="20"/>
          <w:vertAlign w:val="superscript"/>
        </w:rPr>
      </w:pPr>
      <w:r w:rsidRPr="00E8783E">
        <w:rPr>
          <w:rFonts w:ascii="Arial" w:hAnsi="Arial" w:cs="Arial"/>
          <w:sz w:val="20"/>
        </w:rPr>
        <w:tab/>
      </w:r>
      <w:r w:rsidRPr="00E8783E">
        <w:rPr>
          <w:rFonts w:ascii="Arial" w:hAnsi="Arial" w:cs="Arial"/>
          <w:sz w:val="20"/>
        </w:rPr>
        <w:tab/>
      </w:r>
      <w:r w:rsidRPr="00E8783E">
        <w:rPr>
          <w:rFonts w:ascii="Arial" w:hAnsi="Arial" w:cs="Arial"/>
          <w:sz w:val="20"/>
        </w:rPr>
        <w:tab/>
      </w:r>
      <w:r w:rsidRPr="00E8783E">
        <w:rPr>
          <w:rFonts w:ascii="Arial" w:hAnsi="Arial" w:cs="Arial"/>
          <w:sz w:val="20"/>
          <w:vertAlign w:val="superscript"/>
        </w:rPr>
        <w:t>(</w:t>
      </w:r>
      <w:proofErr w:type="gramStart"/>
      <w:r w:rsidRPr="00E8783E">
        <w:rPr>
          <w:rFonts w:ascii="Arial" w:hAnsi="Arial" w:cs="Arial"/>
          <w:sz w:val="20"/>
          <w:vertAlign w:val="superscript"/>
        </w:rPr>
        <w:t>print</w:t>
      </w:r>
      <w:proofErr w:type="gramEnd"/>
      <w:r w:rsidRPr="00E8783E">
        <w:rPr>
          <w:rFonts w:ascii="Arial" w:hAnsi="Arial" w:cs="Arial"/>
          <w:sz w:val="20"/>
          <w:vertAlign w:val="superscript"/>
        </w:rPr>
        <w:t xml:space="preserve"> name)</w:t>
      </w:r>
      <w:r w:rsidRPr="00E8783E">
        <w:rPr>
          <w:rFonts w:ascii="Arial" w:hAnsi="Arial" w:cs="Arial"/>
          <w:sz w:val="20"/>
          <w:vertAlign w:val="superscript"/>
        </w:rPr>
        <w:tab/>
      </w:r>
      <w:r w:rsidRPr="00E8783E">
        <w:rPr>
          <w:rFonts w:ascii="Arial" w:hAnsi="Arial" w:cs="Arial"/>
          <w:sz w:val="20"/>
          <w:vertAlign w:val="superscript"/>
        </w:rPr>
        <w:tab/>
        <w:t xml:space="preserve">               </w:t>
      </w:r>
      <w:r w:rsidRPr="00E8783E">
        <w:rPr>
          <w:rFonts w:ascii="Arial" w:hAnsi="Arial" w:cs="Arial"/>
          <w:sz w:val="20"/>
          <w:vertAlign w:val="superscript"/>
        </w:rPr>
        <w:tab/>
      </w:r>
      <w:r w:rsidRPr="00E8783E">
        <w:rPr>
          <w:rFonts w:ascii="Arial" w:hAnsi="Arial" w:cs="Arial"/>
          <w:sz w:val="20"/>
          <w:vertAlign w:val="superscript"/>
        </w:rPr>
        <w:tab/>
      </w:r>
      <w:r w:rsidRPr="00E8783E">
        <w:rPr>
          <w:rFonts w:ascii="Arial" w:hAnsi="Arial" w:cs="Arial"/>
          <w:sz w:val="20"/>
          <w:vertAlign w:val="superscript"/>
        </w:rPr>
        <w:tab/>
      </w:r>
      <w:r w:rsidRPr="00E8783E">
        <w:rPr>
          <w:rFonts w:ascii="Arial" w:hAnsi="Arial" w:cs="Arial"/>
          <w:sz w:val="20"/>
          <w:vertAlign w:val="superscript"/>
        </w:rPr>
        <w:tab/>
        <w:t>(</w:t>
      </w:r>
      <w:proofErr w:type="gramStart"/>
      <w:r w:rsidRPr="00E8783E">
        <w:rPr>
          <w:rFonts w:ascii="Arial" w:hAnsi="Arial" w:cs="Arial"/>
          <w:sz w:val="20"/>
          <w:vertAlign w:val="superscript"/>
        </w:rPr>
        <w:t>employee</w:t>
      </w:r>
      <w:proofErr w:type="gramEnd"/>
      <w:r w:rsidRPr="00E8783E">
        <w:rPr>
          <w:rFonts w:ascii="Arial" w:hAnsi="Arial" w:cs="Arial"/>
          <w:sz w:val="20"/>
          <w:vertAlign w:val="superscript"/>
        </w:rPr>
        <w:t xml:space="preserve"> signature)</w:t>
      </w:r>
    </w:p>
    <w:p w:rsidR="00A924DE" w:rsidRDefault="00A924DE" w:rsidP="00A924D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Arial" w:hAnsi="Arial" w:cs="Arial"/>
          <w:sz w:val="20"/>
        </w:rPr>
      </w:pPr>
    </w:p>
    <w:p w:rsidR="00AB74B2" w:rsidRPr="00A924DE" w:rsidRDefault="00E32C46" w:rsidP="00A924D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980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Trainer</w:t>
      </w:r>
      <w:r w:rsidR="00A924DE" w:rsidRPr="00E8783E">
        <w:rPr>
          <w:rFonts w:ascii="Arial" w:hAnsi="Arial" w:cs="Arial"/>
          <w:sz w:val="20"/>
          <w:u w:val="single"/>
        </w:rPr>
        <w:tab/>
      </w:r>
      <w:r w:rsidR="00A924DE" w:rsidRPr="00E8783E">
        <w:rPr>
          <w:rFonts w:ascii="Arial" w:hAnsi="Arial" w:cs="Arial"/>
          <w:sz w:val="20"/>
          <w:u w:val="single"/>
        </w:rPr>
        <w:tab/>
      </w:r>
      <w:r w:rsidR="00A924DE" w:rsidRPr="00E8783E">
        <w:rPr>
          <w:rFonts w:ascii="Arial" w:hAnsi="Arial" w:cs="Arial"/>
          <w:sz w:val="20"/>
          <w:u w:val="single"/>
        </w:rPr>
        <w:tab/>
      </w:r>
      <w:r w:rsidR="00A924DE" w:rsidRPr="00E8783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</w:t>
      </w:r>
      <w:r>
        <w:rPr>
          <w:rFonts w:ascii="Arial" w:hAnsi="Arial" w:cs="Arial"/>
          <w:sz w:val="20"/>
          <w:u w:val="single"/>
        </w:rPr>
        <w:tab/>
        <w:t xml:space="preserve">   </w:t>
      </w:r>
      <w:r w:rsidR="00A924DE" w:rsidRPr="00E8783E">
        <w:rPr>
          <w:rFonts w:ascii="Arial" w:hAnsi="Arial" w:cs="Arial"/>
          <w:sz w:val="20"/>
        </w:rPr>
        <w:t xml:space="preserve"> Title </w:t>
      </w:r>
      <w:r w:rsidR="00A924DE">
        <w:rPr>
          <w:rFonts w:ascii="Arial" w:hAnsi="Arial" w:cs="Arial"/>
          <w:sz w:val="20"/>
          <w:u w:val="single"/>
        </w:rPr>
        <w:tab/>
      </w:r>
      <w:r w:rsidR="00A924DE" w:rsidRPr="00E8783E">
        <w:rPr>
          <w:rFonts w:ascii="Arial" w:hAnsi="Arial" w:cs="Arial"/>
          <w:sz w:val="20"/>
          <w:u w:val="single"/>
        </w:rPr>
        <w:t xml:space="preserve"> </w:t>
      </w:r>
      <w:r w:rsidR="00A924DE" w:rsidRPr="00E8783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A924DE" w:rsidRPr="00E8783E">
        <w:rPr>
          <w:rFonts w:ascii="Arial" w:hAnsi="Arial" w:cs="Arial"/>
          <w:sz w:val="20"/>
        </w:rPr>
        <w:t>Sign</w:t>
      </w:r>
      <w:r w:rsidR="00A924DE">
        <w:rPr>
          <w:rFonts w:ascii="Arial" w:hAnsi="Arial" w:cs="Arial"/>
          <w:sz w:val="20"/>
        </w:rPr>
        <w:t>ature__________________</w:t>
      </w:r>
      <w:r>
        <w:rPr>
          <w:rFonts w:ascii="Arial" w:hAnsi="Arial" w:cs="Arial"/>
          <w:sz w:val="20"/>
          <w:u w:val="single"/>
        </w:rPr>
        <w:t xml:space="preserve">   </w:t>
      </w:r>
      <w:r w:rsidR="00A924DE">
        <w:rPr>
          <w:rFonts w:ascii="Arial" w:hAnsi="Arial" w:cs="Arial"/>
          <w:sz w:val="20"/>
        </w:rPr>
        <w:t xml:space="preserve">_ </w:t>
      </w:r>
      <w:r w:rsidR="00A924DE" w:rsidRPr="00E8783E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 xml:space="preserve"> </w:t>
      </w:r>
      <w:r w:rsidR="00A924DE">
        <w:rPr>
          <w:rFonts w:ascii="Arial" w:hAnsi="Arial" w:cs="Arial"/>
          <w:sz w:val="20"/>
          <w:u w:val="single"/>
        </w:rPr>
        <w:tab/>
      </w:r>
    </w:p>
    <w:p w:rsidR="00AB74B2" w:rsidRPr="00E8783E" w:rsidRDefault="00E32C46" w:rsidP="00A924D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530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B74B2" w:rsidRPr="00E8783E">
        <w:rPr>
          <w:rFonts w:ascii="Arial" w:hAnsi="Arial" w:cs="Arial"/>
          <w:sz w:val="20"/>
        </w:rPr>
        <w:tab/>
      </w:r>
      <w:r w:rsidR="00AB74B2" w:rsidRPr="00E8783E">
        <w:rPr>
          <w:rFonts w:ascii="Arial" w:hAnsi="Arial" w:cs="Arial"/>
          <w:sz w:val="20"/>
        </w:rPr>
        <w:tab/>
      </w:r>
      <w:r w:rsidR="00AB74B2" w:rsidRPr="00E8783E">
        <w:rPr>
          <w:rFonts w:ascii="Arial" w:hAnsi="Arial" w:cs="Arial"/>
          <w:sz w:val="20"/>
          <w:vertAlign w:val="superscript"/>
        </w:rPr>
        <w:t>(</w:t>
      </w:r>
      <w:proofErr w:type="gramStart"/>
      <w:r w:rsidR="00AB74B2" w:rsidRPr="00E8783E">
        <w:rPr>
          <w:rFonts w:ascii="Arial" w:hAnsi="Arial" w:cs="Arial"/>
          <w:sz w:val="20"/>
          <w:vertAlign w:val="superscript"/>
        </w:rPr>
        <w:t>print</w:t>
      </w:r>
      <w:proofErr w:type="gramEnd"/>
      <w:r w:rsidR="00AB74B2" w:rsidRPr="00E8783E">
        <w:rPr>
          <w:rFonts w:ascii="Arial" w:hAnsi="Arial" w:cs="Arial"/>
          <w:sz w:val="20"/>
          <w:vertAlign w:val="superscript"/>
        </w:rPr>
        <w:t xml:space="preserve"> name)</w:t>
      </w:r>
      <w:r w:rsidR="00AB74B2" w:rsidRPr="00E8783E">
        <w:rPr>
          <w:rFonts w:ascii="Arial" w:hAnsi="Arial" w:cs="Arial"/>
          <w:sz w:val="20"/>
          <w:vertAlign w:val="superscript"/>
        </w:rPr>
        <w:tab/>
      </w:r>
      <w:r w:rsidR="00AB74B2" w:rsidRPr="00E8783E">
        <w:rPr>
          <w:rFonts w:ascii="Arial" w:hAnsi="Arial" w:cs="Arial"/>
          <w:sz w:val="20"/>
          <w:vertAlign w:val="superscript"/>
        </w:rPr>
        <w:tab/>
        <w:t xml:space="preserve">               </w:t>
      </w:r>
      <w:r w:rsidR="00AB74B2" w:rsidRPr="00E8783E">
        <w:rPr>
          <w:rFonts w:ascii="Arial" w:hAnsi="Arial" w:cs="Arial"/>
          <w:sz w:val="20"/>
          <w:vertAlign w:val="superscript"/>
        </w:rPr>
        <w:tab/>
      </w:r>
      <w:r w:rsidR="00AB74B2" w:rsidRPr="00E8783E">
        <w:rPr>
          <w:rFonts w:ascii="Arial" w:hAnsi="Arial" w:cs="Arial"/>
          <w:sz w:val="20"/>
          <w:vertAlign w:val="superscript"/>
        </w:rPr>
        <w:tab/>
      </w:r>
      <w:r w:rsidR="00AB74B2" w:rsidRPr="00E8783E">
        <w:rPr>
          <w:rFonts w:ascii="Arial" w:hAnsi="Arial" w:cs="Arial"/>
          <w:sz w:val="20"/>
          <w:vertAlign w:val="superscript"/>
        </w:rPr>
        <w:tab/>
      </w:r>
      <w:r w:rsidR="00AB74B2" w:rsidRPr="00E8783E">
        <w:rPr>
          <w:rFonts w:ascii="Arial" w:hAnsi="Arial" w:cs="Arial"/>
          <w:sz w:val="20"/>
          <w:vertAlign w:val="superscript"/>
        </w:rPr>
        <w:tab/>
        <w:t>(</w:t>
      </w:r>
      <w:proofErr w:type="gramStart"/>
      <w:r>
        <w:rPr>
          <w:rFonts w:ascii="Arial" w:hAnsi="Arial" w:cs="Arial"/>
          <w:sz w:val="20"/>
          <w:vertAlign w:val="superscript"/>
        </w:rPr>
        <w:t>trainer</w:t>
      </w:r>
      <w:proofErr w:type="gramEnd"/>
      <w:r w:rsidR="00AB74B2" w:rsidRPr="00E8783E">
        <w:rPr>
          <w:rFonts w:ascii="Arial" w:hAnsi="Arial" w:cs="Arial"/>
          <w:sz w:val="20"/>
          <w:vertAlign w:val="superscript"/>
        </w:rPr>
        <w:t xml:space="preserve"> signature)</w:t>
      </w:r>
    </w:p>
    <w:p w:rsidR="00A924DE" w:rsidRDefault="00A924DE">
      <w:pPr>
        <w:pStyle w:val="BodyTex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980"/>
          <w:tab w:val="clear" w:pos="2520"/>
          <w:tab w:val="clear" w:pos="3240"/>
          <w:tab w:val="clear" w:pos="5040"/>
          <w:tab w:val="clear" w:pos="5760"/>
          <w:tab w:val="clear" w:pos="8640"/>
          <w:tab w:val="left" w:pos="2160"/>
          <w:tab w:val="right" w:pos="9360"/>
        </w:tabs>
        <w:suppressAutoHyphens/>
        <w:rPr>
          <w:rFonts w:ascii="Arial" w:hAnsi="Arial" w:cs="Arial"/>
        </w:rPr>
      </w:pPr>
    </w:p>
    <w:sectPr w:rsidR="00A924DE" w:rsidSect="00E32C46">
      <w:footerReference w:type="default" r:id="rId9"/>
      <w:endnotePr>
        <w:numFmt w:val="decimal"/>
      </w:endnotePr>
      <w:pgSz w:w="12240" w:h="15840"/>
      <w:pgMar w:top="432" w:right="1170" w:bottom="331" w:left="1440" w:header="720" w:footer="3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E6" w:rsidRDefault="007A07E6">
      <w:r>
        <w:separator/>
      </w:r>
    </w:p>
  </w:endnote>
  <w:endnote w:type="continuationSeparator" w:id="0">
    <w:p w:rsidR="007A07E6" w:rsidRDefault="007A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DE" w:rsidRPr="00E32C46" w:rsidRDefault="00A924DE" w:rsidP="00E32C46">
    <w:pPr>
      <w:spacing w:line="252" w:lineRule="auto"/>
      <w:rPr>
        <w:rFonts w:ascii="Arial" w:hAnsi="Arial" w:cs="Arial"/>
        <w:sz w:val="16"/>
      </w:rPr>
    </w:pPr>
    <w:r w:rsidRPr="00E32C46">
      <w:rPr>
        <w:rFonts w:ascii="Arial" w:hAnsi="Arial" w:cs="Arial"/>
        <w:sz w:val="16"/>
      </w:rPr>
      <w:t>Implementation Date: 03/05/2019</w:t>
    </w:r>
  </w:p>
  <w:p w:rsidR="00A924DE" w:rsidRPr="00E32C46" w:rsidRDefault="00A924DE" w:rsidP="00E32C46">
    <w:pPr>
      <w:spacing w:line="252" w:lineRule="auto"/>
      <w:rPr>
        <w:rFonts w:ascii="Arial" w:hAnsi="Arial" w:cs="Arial"/>
        <w:sz w:val="16"/>
      </w:rPr>
    </w:pPr>
    <w:r w:rsidRPr="00E32C46">
      <w:rPr>
        <w:rFonts w:ascii="Arial" w:hAnsi="Arial" w:cs="Arial"/>
        <w:sz w:val="16"/>
      </w:rPr>
      <w:t>Last reviewed: 02/27/2019</w:t>
    </w:r>
  </w:p>
  <w:p w:rsidR="00F70D25" w:rsidRDefault="00A924DE" w:rsidP="00E32C46">
    <w:pPr>
      <w:spacing w:line="252" w:lineRule="auto"/>
      <w:rPr>
        <w:rFonts w:ascii="Arial" w:hAnsi="Arial"/>
        <w:sz w:val="20"/>
      </w:rPr>
    </w:pPr>
    <w:r w:rsidRPr="00E32C46">
      <w:rPr>
        <w:rFonts w:ascii="Arial" w:hAnsi="Arial" w:cs="Arial"/>
        <w:sz w:val="16"/>
      </w:rPr>
      <w:t>Version 1</w:t>
    </w:r>
    <w:r w:rsidR="00F70D25" w:rsidRPr="00E32C46">
      <w:rPr>
        <w:rFonts w:ascii="Arial" w:hAnsi="Arial" w:cs="Arial"/>
        <w:sz w:val="16"/>
      </w:rPr>
      <w:tab/>
    </w:r>
    <w:r w:rsidR="00F70D25">
      <w:rPr>
        <w:sz w:val="16"/>
      </w:rPr>
      <w:tab/>
    </w:r>
    <w:r w:rsidR="00F70D25">
      <w:rPr>
        <w:sz w:val="16"/>
      </w:rPr>
      <w:tab/>
    </w:r>
    <w:r w:rsidR="00F70D25">
      <w:rPr>
        <w:sz w:val="16"/>
      </w:rPr>
      <w:tab/>
    </w:r>
    <w:r w:rsidR="00F70D25">
      <w:rPr>
        <w:sz w:val="16"/>
      </w:rPr>
      <w:tab/>
    </w:r>
    <w:r w:rsidR="00F70D25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E6" w:rsidRDefault="007A07E6">
      <w:r>
        <w:separator/>
      </w:r>
    </w:p>
  </w:footnote>
  <w:footnote w:type="continuationSeparator" w:id="0">
    <w:p w:rsidR="007A07E6" w:rsidRDefault="007A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ECDCB2"/>
    <w:lvl w:ilvl="0">
      <w:numFmt w:val="decimal"/>
      <w:lvlText w:val="*"/>
      <w:lvlJc w:val="left"/>
    </w:lvl>
  </w:abstractNum>
  <w:abstractNum w:abstractNumId="1" w15:restartNumberingAfterBreak="0">
    <w:nsid w:val="0C320B7A"/>
    <w:multiLevelType w:val="singleLevel"/>
    <w:tmpl w:val="826E5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E555FF"/>
    <w:multiLevelType w:val="hybridMultilevel"/>
    <w:tmpl w:val="9E2A31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0B66"/>
    <w:multiLevelType w:val="singleLevel"/>
    <w:tmpl w:val="826E5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D91C61"/>
    <w:multiLevelType w:val="hybridMultilevel"/>
    <w:tmpl w:val="02EA12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8FFEA">
      <w:start w:val="3"/>
      <w:numFmt w:val="bullet"/>
      <w:lvlText w:val=""/>
      <w:lvlJc w:val="left"/>
      <w:pPr>
        <w:tabs>
          <w:tab w:val="num" w:pos="2025"/>
        </w:tabs>
        <w:ind w:left="2025" w:hanging="945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B6F08"/>
    <w:multiLevelType w:val="hybridMultilevel"/>
    <w:tmpl w:val="9DD0ABD0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A9228B"/>
    <w:multiLevelType w:val="hybridMultilevel"/>
    <w:tmpl w:val="EB443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512EB8"/>
    <w:multiLevelType w:val="singleLevel"/>
    <w:tmpl w:val="F30492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8E905C8"/>
    <w:multiLevelType w:val="hybridMultilevel"/>
    <w:tmpl w:val="51EE7B86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6D3A2B"/>
    <w:multiLevelType w:val="singleLevel"/>
    <w:tmpl w:val="826E5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B63A70"/>
    <w:multiLevelType w:val="hybridMultilevel"/>
    <w:tmpl w:val="39E45D8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8F"/>
    <w:rsid w:val="000066B0"/>
    <w:rsid w:val="0007710E"/>
    <w:rsid w:val="00084203"/>
    <w:rsid w:val="000E4B6F"/>
    <w:rsid w:val="001B6A75"/>
    <w:rsid w:val="0037200B"/>
    <w:rsid w:val="003A6C71"/>
    <w:rsid w:val="003D3ED2"/>
    <w:rsid w:val="00440EE5"/>
    <w:rsid w:val="004B4B77"/>
    <w:rsid w:val="005217E6"/>
    <w:rsid w:val="005341CF"/>
    <w:rsid w:val="0060210A"/>
    <w:rsid w:val="007A07E6"/>
    <w:rsid w:val="008679BC"/>
    <w:rsid w:val="008F1F86"/>
    <w:rsid w:val="00984424"/>
    <w:rsid w:val="009A2502"/>
    <w:rsid w:val="009B32A2"/>
    <w:rsid w:val="009E6B05"/>
    <w:rsid w:val="00A870E9"/>
    <w:rsid w:val="00A924DE"/>
    <w:rsid w:val="00AA647C"/>
    <w:rsid w:val="00AB74B2"/>
    <w:rsid w:val="00AC0763"/>
    <w:rsid w:val="00AC12C0"/>
    <w:rsid w:val="00AD6F87"/>
    <w:rsid w:val="00B351B1"/>
    <w:rsid w:val="00B80D23"/>
    <w:rsid w:val="00C2798F"/>
    <w:rsid w:val="00C86CE4"/>
    <w:rsid w:val="00CD1CD5"/>
    <w:rsid w:val="00D50244"/>
    <w:rsid w:val="00DF02D4"/>
    <w:rsid w:val="00E14328"/>
    <w:rsid w:val="00E17CFA"/>
    <w:rsid w:val="00E32C46"/>
    <w:rsid w:val="00E8783E"/>
    <w:rsid w:val="00EC6382"/>
    <w:rsid w:val="00F56D18"/>
    <w:rsid w:val="00F70D25"/>
    <w:rsid w:val="00F903B7"/>
    <w:rsid w:val="00F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AA286E-0E78-4A6B-9D06-360F2AF9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E3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F906E3"/>
    <w:pPr>
      <w:keepNext/>
      <w:widowControl/>
      <w:autoSpaceDE w:val="0"/>
      <w:autoSpaceDN w:val="0"/>
      <w:adjustRightInd w:val="0"/>
      <w:outlineLvl w:val="0"/>
    </w:pPr>
    <w:rPr>
      <w:rFonts w:ascii="Arial" w:hAnsi="Arial" w:cs="Arial"/>
      <w:b/>
      <w:bCs/>
      <w:snapToGrid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06E3"/>
  </w:style>
  <w:style w:type="paragraph" w:styleId="Header">
    <w:name w:val="header"/>
    <w:basedOn w:val="Normal"/>
    <w:rsid w:val="00F90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6E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906E3"/>
    <w:pPr>
      <w:tabs>
        <w:tab w:val="left" w:pos="-1440"/>
        <w:tab w:val="left" w:pos="-720"/>
        <w:tab w:val="left" w:pos="0"/>
        <w:tab w:val="left" w:pos="720"/>
        <w:tab w:val="left" w:pos="1929"/>
        <w:tab w:val="left" w:pos="1980"/>
        <w:tab w:val="left" w:pos="252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929" w:hanging="897"/>
    </w:pPr>
    <w:rPr>
      <w:rFonts w:ascii="CG Times" w:hAnsi="CG Times"/>
      <w:sz w:val="20"/>
    </w:rPr>
  </w:style>
  <w:style w:type="character" w:styleId="PageNumber">
    <w:name w:val="page number"/>
    <w:basedOn w:val="DefaultParagraphFont"/>
    <w:rsid w:val="00F906E3"/>
  </w:style>
  <w:style w:type="paragraph" w:styleId="BodyText">
    <w:name w:val="Body Text"/>
    <w:basedOn w:val="Normal"/>
    <w:rsid w:val="00F906E3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980"/>
        <w:tab w:val="left" w:pos="252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paragraph" w:styleId="BodyTextIndent2">
    <w:name w:val="Body Text Indent 2"/>
    <w:basedOn w:val="Normal"/>
    <w:rsid w:val="00F906E3"/>
    <w:pPr>
      <w:tabs>
        <w:tab w:val="left" w:pos="-1440"/>
        <w:tab w:val="left" w:pos="-720"/>
        <w:tab w:val="left" w:pos="0"/>
        <w:tab w:val="left" w:pos="1080"/>
        <w:tab w:val="left" w:pos="1119"/>
        <w:tab w:val="left" w:pos="1980"/>
        <w:tab w:val="left" w:pos="252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119" w:hanging="759"/>
    </w:pPr>
    <w:rPr>
      <w:rFonts w:ascii="CG Times" w:hAnsi="CG Times"/>
      <w:sz w:val="20"/>
    </w:rPr>
  </w:style>
  <w:style w:type="paragraph" w:styleId="BalloonText">
    <w:name w:val="Balloon Text"/>
    <w:basedOn w:val="Normal"/>
    <w:link w:val="BalloonTextChar"/>
    <w:rsid w:val="00F5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D18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smpowers</dc:creator>
  <cp:keywords/>
  <dc:description/>
  <cp:lastModifiedBy>Bernhardt, Melanie B. (Brooke)</cp:lastModifiedBy>
  <cp:revision>6</cp:revision>
  <cp:lastPrinted>2016-08-10T19:09:00Z</cp:lastPrinted>
  <dcterms:created xsi:type="dcterms:W3CDTF">2019-02-27T18:10:00Z</dcterms:created>
  <dcterms:modified xsi:type="dcterms:W3CDTF">2019-11-07T22:22:00Z</dcterms:modified>
</cp:coreProperties>
</file>